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82E" w:rsidRPr="007A1C42" w:rsidRDefault="008C382E" w:rsidP="008C382E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что в целях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обеспечения </w:t>
      </w:r>
      <w:r w:rsidRPr="00B74AA5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строительства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,</w:t>
      </w:r>
      <w:r w:rsidRPr="00B74AA5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реконструкции объектов инфраструктуры при реализации объекта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:</w:t>
      </w:r>
      <w:r w:rsidRPr="00B74AA5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  <w:r w:rsidRPr="00D33BE9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</w:t>
      </w:r>
      <w:r w:rsidRPr="00D33BE9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2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части 5 статьи 4 Федеральног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о закона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от 31.07.2020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№ 254-ФЗ «Об особенностях регулирования отдельных отношений 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труктуры и о внесении изменений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>ого</w:t>
      </w: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>а</w:t>
      </w: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 xml:space="preserve"> в интересах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br/>
      </w:r>
      <w:r w:rsidRPr="007A1C42">
        <w:rPr>
          <w:rFonts w:ascii="Times New Roman" w:eastAsia="SimSun" w:hAnsi="Times New Roman" w:cs="Times New Roman"/>
          <w:b/>
          <w:bCs/>
          <w:sz w:val="26"/>
          <w:szCs w:val="26"/>
          <w:lang w:eastAsia="zh-CN" w:bidi="hi-IN"/>
        </w:rPr>
        <w:t xml:space="preserve">ОАО «РЖД»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6" w:history="1">
        <w:r w:rsidRPr="004E43B6">
          <w:rPr>
            <w:rStyle w:val="a4"/>
            <w:rFonts w:ascii="Times New Roman" w:hAnsi="Times New Roman" w:cs="Times New Roman"/>
            <w:sz w:val="26"/>
            <w:szCs w:val="26"/>
          </w:rPr>
          <w:t>dkrs-msk@msk.rzd.ru</w:t>
        </w:r>
      </w:hyperlink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; 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41 месяц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br/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в отношении </w:t>
      </w:r>
      <w:r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>следующих земельных участков</w:t>
      </w: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: </w:t>
      </w:r>
    </w:p>
    <w:p w:rsidR="008D6B58" w:rsidRPr="007A1C42" w:rsidRDefault="008D6B58" w:rsidP="008D6B58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</w:p>
    <w:p w:rsidR="0007041B" w:rsidRPr="007A1C42" w:rsidRDefault="0007041B" w:rsidP="0007041B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8C382E" w:rsidTr="00C117EC">
        <w:trPr>
          <w:jc w:val="center"/>
        </w:trPr>
        <w:tc>
          <w:tcPr>
            <w:tcW w:w="3142" w:type="dxa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8C382E" w:rsidTr="00C117EC">
        <w:trPr>
          <w:jc w:val="center"/>
        </w:trPr>
        <w:tc>
          <w:tcPr>
            <w:tcW w:w="3142" w:type="dxa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Style w:val="fontstyle01"/>
              </w:rPr>
              <w:t>77:10:0006001:3838</w:t>
            </w:r>
            <w:r>
              <w:rPr>
                <w:rStyle w:val="fontstyle01"/>
              </w:rPr>
              <w:br/>
              <w:t>77:10:0006001:10</w:t>
            </w:r>
          </w:p>
        </w:tc>
        <w:tc>
          <w:tcPr>
            <w:tcW w:w="3260" w:type="dxa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мо Крюково,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г. Зеленоград,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ул. Новокрюковская, зу 3Б</w:t>
            </w:r>
          </w:p>
        </w:tc>
        <w:tc>
          <w:tcPr>
            <w:tcW w:w="3565" w:type="dxa"/>
            <w:shd w:val="clear" w:color="auto" w:fill="auto"/>
          </w:tcPr>
          <w:p w:rsidR="008C382E" w:rsidRDefault="008C382E" w:rsidP="00C117EC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4 месяца</w:t>
            </w:r>
          </w:p>
        </w:tc>
      </w:tr>
      <w:tr w:rsidR="008C382E" w:rsidTr="00C117E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7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8C382E" w:rsidTr="00C117E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8C382E" w:rsidTr="00C117E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382E" w:rsidRPr="00951E48" w:rsidRDefault="008C382E" w:rsidP="00C117E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951E48">
                <w:rPr>
                  <w:rStyle w:val="a4"/>
                  <w:rFonts w:ascii="Times New Roman" w:hAnsi="Times New Roman" w:cs="Times New Roman"/>
                </w:rPr>
                <w:t>https://zelao.mos.ru</w:t>
              </w:r>
            </w:hyperlink>
          </w:p>
          <w:p w:rsidR="008C382E" w:rsidRPr="001B6795" w:rsidRDefault="008C382E" w:rsidP="00C117E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C382E" w:rsidRPr="001B6795" w:rsidRDefault="008C382E" w:rsidP="00C117E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1B6795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lastRenderedPageBreak/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8C382E" w:rsidTr="00C117E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C382E" w:rsidRDefault="008C382E" w:rsidP="00C117E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B67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29.06.2021 № АИ-249-р (</w:t>
            </w:r>
            <w:r w:rsidRPr="001B67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с изменениями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05.06.2023</w:t>
            </w:r>
            <w:r w:rsidRPr="001B67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</w:t>
            </w:r>
            <w:r w:rsidRPr="001B67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378</w:t>
            </w:r>
            <w:r w:rsidRPr="001B67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-р)</w:t>
            </w:r>
            <w:r w:rsidRPr="001B67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 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Pr="00D6076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</w:t>
            </w:r>
          </w:p>
          <w:p w:rsidR="008C382E" w:rsidRPr="001B6795" w:rsidRDefault="008C382E" w:rsidP="00C117E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8C382E" w:rsidTr="00C117E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382E" w:rsidRPr="00951E48" w:rsidRDefault="008C382E" w:rsidP="00C117E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951E48">
                <w:rPr>
                  <w:rStyle w:val="a4"/>
                  <w:rFonts w:ascii="Times New Roman" w:hAnsi="Times New Roman" w:cs="Times New Roman"/>
                </w:rPr>
                <w:t>https://zelao.mos.ru</w:t>
              </w:r>
            </w:hyperlink>
          </w:p>
          <w:p w:rsidR="008C382E" w:rsidRPr="001B6795" w:rsidRDefault="008C382E" w:rsidP="00C117EC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hAnsi="Times New Roman" w:cs="Times New Roman"/>
              </w:rPr>
            </w:pPr>
          </w:p>
          <w:p w:rsidR="008C382E" w:rsidRPr="00F4672D" w:rsidRDefault="008C382E" w:rsidP="00C117E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F4672D">
                <w:rPr>
                  <w:rStyle w:val="a4"/>
                  <w:rFonts w:ascii="Times New Roman" w:hAnsi="Times New Roman" w:cs="Times New Roman"/>
                </w:rPr>
                <w:t>https://stroi.mos.ru</w:t>
              </w:r>
            </w:hyperlink>
          </w:p>
          <w:p w:rsidR="008C382E" w:rsidRPr="001B6795" w:rsidRDefault="008C382E" w:rsidP="00C117EC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8C382E" w:rsidTr="00C117EC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8C382E" w:rsidRDefault="008C382E" w:rsidP="00C117EC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B36870" w:rsidRDefault="00B36870" w:rsidP="00CD4EAC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B36870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AF8" w:rsidRDefault="00E26AF8">
      <w:pPr>
        <w:spacing w:after="0" w:line="240" w:lineRule="auto"/>
      </w:pPr>
      <w:r>
        <w:separator/>
      </w:r>
    </w:p>
  </w:endnote>
  <w:endnote w:type="continuationSeparator" w:id="0">
    <w:p w:rsidR="00E26AF8" w:rsidRDefault="00E2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AF8" w:rsidRDefault="00E26AF8">
      <w:pPr>
        <w:spacing w:after="0" w:line="240" w:lineRule="auto"/>
      </w:pPr>
      <w:r>
        <w:separator/>
      </w:r>
    </w:p>
  </w:footnote>
  <w:footnote w:type="continuationSeparator" w:id="0">
    <w:p w:rsidR="00E26AF8" w:rsidRDefault="00E2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8C382E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5772E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9378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7310F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6E4D"/>
    <w:rsid w:val="00680E26"/>
    <w:rsid w:val="0068268C"/>
    <w:rsid w:val="00695DB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382E"/>
    <w:rsid w:val="008C7BCE"/>
    <w:rsid w:val="008D6B58"/>
    <w:rsid w:val="008F6E85"/>
    <w:rsid w:val="009017DC"/>
    <w:rsid w:val="009228B2"/>
    <w:rsid w:val="00926C2A"/>
    <w:rsid w:val="00936D12"/>
    <w:rsid w:val="00960D2C"/>
    <w:rsid w:val="0097211F"/>
    <w:rsid w:val="00983F46"/>
    <w:rsid w:val="009862A3"/>
    <w:rsid w:val="00986429"/>
    <w:rsid w:val="0098710C"/>
    <w:rsid w:val="009901EE"/>
    <w:rsid w:val="00992A8B"/>
    <w:rsid w:val="00993202"/>
    <w:rsid w:val="009A05E7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B75C2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747C"/>
    <w:rsid w:val="00E26AF8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1171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ao.mos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rs-msk@msk.rzd.ru" TargetMode="External"/><Relationship Id="rId11" Type="http://schemas.openxmlformats.org/officeDocument/2006/relationships/hyperlink" Target="https://stroi.mos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zelao.mos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179</cp:revision>
  <cp:lastPrinted>2023-06-09T08:59:00Z</cp:lastPrinted>
  <dcterms:created xsi:type="dcterms:W3CDTF">2022-06-21T09:18:00Z</dcterms:created>
  <dcterms:modified xsi:type="dcterms:W3CDTF">2024-08-09T13:46:00Z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