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142"/>
        <w:jc w:val="center"/>
        <w:spacing w:after="0" w:line="240" w:lineRule="auto"/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pP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  <w:t xml:space="preserve">Сообщение о планируемом изъятии земельн</w:t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  <w:t xml:space="preserve">ого участк</w:t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  <w:t xml:space="preserve">а</w:t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r>
    </w:p>
    <w:p>
      <w:pPr>
        <w:ind w:right="142"/>
        <w:jc w:val="center"/>
        <w:spacing w:after="0" w:line="240" w:lineRule="auto"/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pP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  <w:t xml:space="preserve">для государственных нужд в интересах общества с ограниченной ответственностью </w:t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  <w:t xml:space="preserve">«ВСМ Две Столицы»</w:t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r>
    </w:p>
    <w:p>
      <w:pPr>
        <w:ind w:right="142"/>
        <w:jc w:val="center"/>
        <w:spacing w:after="0" w:line="240" w:lineRule="auto"/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pP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highlight w:val="none"/>
          <w:lang w:eastAsia="zh-CN" w:bidi="hi-IN"/>
        </w:rPr>
      </w:pP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Федеральное агентство железнодорожного транспорта (далее – 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Росжелдор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) настоящим сообщает, что 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в целях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 обеспечения размещения объекта: 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«Создание высокоскоростной железнодорожной магистрали Санкт-Петербург – Москва (участок Крюково (Алабушево) – Обухово)». 5 этап – Строительство участка Логовежь (вкл.) – Новая Тверь (искл.)»,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 в соответствии со статьями 49, 56.3, 56.5 Земельного кодекса Российской Федерации, пунктом 5.3.19 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По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ложения </w:t>
        <w:br/>
        <w:t xml:space="preserve">о Росжелдоре, утвержденного постановлением Правительства Российской Федерации от 30.07.2004 № 397, на основании документации по планировке территории (проект планировки территории, проект межевания территории) для размещения объекта: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 «Создание высокоскоростной железнодорожной магистрали Санкт-Петербург – Москва (участок Крюково (Алабушево) – Обухово)». 5 этап – Строительство участка Логовежь (вкл.) – Новая </w:t>
        <w:br/>
        <w:t xml:space="preserve">Тверь (искл.)»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,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 утвержденной распоряжением Росжелдора от 24.01.2025 </w:t>
        <w:br/>
        <w:t xml:space="preserve">№ АБ-35-р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, с изменениями, внесенными распоряжением Федерального агентства железнодорожного транспорта от 20.03.2026 № АБ-619-р, планируе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тся изъятие </w:t>
        <w:br/>
        <w:t xml:space="preserve">в интересах 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ООО «ВСМ Две Столицы» (ОГРН 1247700011900, ИНН 9726064201; ул. Крылатская, д. 17, к. 2, вн.тер.г. муниципальный округ Крылатское, 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г. Москва, 1216144, e-mail: info@vsm2stl.ru; телефон: 8 (499) 429-09-59) 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следующего земельного участка:</w:t>
      </w:r>
      <w:r>
        <w:rPr>
          <w:rFonts w:ascii="Times New Roman" w:hAnsi="Times New Roman" w:eastAsia="SimSun" w:cs="Times New Roman"/>
          <w:sz w:val="28"/>
          <w:szCs w:val="28"/>
          <w:highlight w:val="none"/>
          <w:lang w:eastAsia="zh-CN" w:bidi="hi-IN"/>
        </w:rPr>
      </w:r>
      <w:r>
        <w:rPr>
          <w:rFonts w:ascii="Times New Roman" w:hAnsi="Times New Roman" w:eastAsia="SimSun" w:cs="Times New Roman"/>
          <w:sz w:val="28"/>
          <w:szCs w:val="28"/>
          <w:highlight w:val="none"/>
          <w:lang w:eastAsia="zh-CN" w:bidi="hi-I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 w:bidi="hi-IN"/>
        </w:rPr>
      </w:pPr>
      <w:r>
        <w:rPr>
          <w:rFonts w:ascii="Times New Roman" w:hAnsi="Times New Roman" w:eastAsia="SimSun" w:cs="Times New Roman"/>
          <w:sz w:val="28"/>
          <w:szCs w:val="28"/>
          <w:highlight w:val="none"/>
          <w:lang w:eastAsia="zh-CN" w:bidi="hi-IN"/>
        </w:rPr>
      </w:r>
      <w:r>
        <w:rPr>
          <w:rFonts w:ascii="Times New Roman" w:hAnsi="Times New Roman" w:eastAsia="SimSun" w:cs="Times New Roman"/>
          <w:sz w:val="28"/>
          <w:szCs w:val="28"/>
          <w:highlight w:val="none"/>
          <w:lang w:eastAsia="zh-CN" w:bidi="hi-IN"/>
        </w:rPr>
      </w:r>
      <w:r>
        <w:rPr>
          <w:rFonts w:ascii="Times New Roman" w:hAnsi="Times New Roman" w:eastAsia="SimSun" w:cs="Times New Roman"/>
          <w:sz w:val="28"/>
          <w:szCs w:val="28"/>
          <w:lang w:eastAsia="zh-CN" w:bidi="hi-IN"/>
        </w:rPr>
      </w:r>
    </w:p>
    <w:tbl>
      <w:tblPr>
        <w:tblW w:w="9753" w:type="dxa"/>
        <w:tblInd w:w="-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801"/>
        <w:gridCol w:w="1889"/>
        <w:gridCol w:w="3923"/>
        <w:gridCol w:w="1134"/>
        <w:gridCol w:w="1523"/>
      </w:tblGrid>
      <w:tr>
        <w:tblPrEx/>
        <w:trPr>
          <w:trHeight w:val="1530"/>
        </w:trPr>
        <w:tc>
          <w:tcPr>
            <w:shd w:val="clear" w:color="000000" w:fill="ffffff"/>
            <w:tcW w:w="484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W w:w="801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Усл. № по ДПТ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W w:w="1889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Кадастровый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  <w:p>
            <w:pPr>
              <w:ind w:left="0" w:right="-108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номер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земельного участка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W w:w="3923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Адрес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Площадь участка, кв. м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523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Площадь участка, подлежащего образованию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  <w:p>
            <w:pPr>
              <w:ind w:left="0" w:right="-108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и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изъятию,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  <w:p>
            <w:pPr>
              <w:ind w:left="0" w:right="-108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кв. м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</w:tc>
      </w:tr>
      <w:tr>
        <w:tblPrEx/>
        <w:trPr>
          <w:trHeight w:val="510"/>
        </w:trPr>
        <w:tc>
          <w:tcPr>
            <w:shd w:val="clear" w:color="000000" w:fill="ffffff"/>
            <w:tcW w:w="484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801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3.100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1889" w:type="dxa"/>
            <w:vAlign w:val="center"/>
            <w:textDirection w:val="lrTb"/>
            <w:noWrap w:val="false"/>
          </w:tcPr>
          <w:p>
            <w:pPr>
              <w:ind w:left="-142" w:right="-108" w:firstLine="142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69:10:0080701:30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3923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Местоположение установлено относительно ориентира, расположенного в границах участка. Почтовый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адрес ориентира: Тверская область, р-н. Калининский,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0" w:right="-108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с/п. Медновское, д. Букарево.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3000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23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199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16"/>
          <w:szCs w:val="16"/>
        </w:rPr>
      </w:pPr>
      <w:r>
        <w:rPr>
          <w:rFonts w:ascii="Times New Roman" w:hAnsi="Times New Roman" w:eastAsia="Calibri" w:cs="Times New Roman"/>
          <w:sz w:val="16"/>
          <w:szCs w:val="16"/>
        </w:rPr>
      </w:r>
      <w:r>
        <w:rPr>
          <w:rFonts w:ascii="Times New Roman" w:hAnsi="Times New Roman" w:eastAsia="Calibri" w:cs="Times New Roman"/>
          <w:sz w:val="16"/>
          <w:szCs w:val="16"/>
        </w:rPr>
      </w:r>
      <w:r>
        <w:rPr>
          <w:rFonts w:ascii="Times New Roman" w:hAnsi="Times New Roman" w:eastAsia="Calibri" w:cs="Times New Roman"/>
          <w:sz w:val="16"/>
          <w:szCs w:val="16"/>
        </w:rPr>
      </w:r>
    </w:p>
    <w:tbl>
      <w:tblPr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>
        <w:tblPrEx/>
        <w:trPr>
          <w:trHeight w:val="1952"/>
        </w:trPr>
        <w:tc>
          <w:tcPr>
            <w:shd w:val="clear" w:color="ffffff" w:fill="ffffff"/>
            <w:tcW w:w="9781" w:type="dxa"/>
            <w:vAlign w:val="center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Федеральное агентство железнодорожного транспорта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105064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, г. Москва,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ул. Старая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Басм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анная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, Москва, д. 11/2, стр. 1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тел.: 8(499) 550-34-36; адрес электронной почты: </w:t>
            </w:r>
            <w:hyperlink r:id="rId9" w:tooltip="mailto:info@roszeldor.ru" w:history="1">
              <w:r>
                <w:rPr>
                  <w:rFonts w:ascii="Times New Roman" w:hAnsi="Times New Roman" w:eastAsia="SimSun" w:cs="Times New Roman"/>
                  <w:bCs/>
                  <w:lang w:eastAsia="zh-CN" w:bidi="hi-IN"/>
                </w:rPr>
                <w:t xml:space="preserve">info@r</w:t>
              </w:r>
            </w:hyperlink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  <w:t xml:space="preserve">lw.gov.ru 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  <w:t xml:space="preserve">время приема: согласно графику по предварительной записи)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В течение 60 дней со дня опубликования данного сообщения заинтересованные лица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  <w:t xml:space="preserve">вправе обратиться по указанн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ому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адрес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у и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получить информацию о предполагаемом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  <w:t xml:space="preserve">изъятии земельн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ого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участк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для государственных или муниципальных нужд и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/или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подать заявления об учете прав на земельные участки и иные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объекты недвижимого имущества, п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олучить информацию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поступившем ходатайстве о планируемом изъятии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земельных участков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для государственных нужд в интересах ООО «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ВСМ Две Столицы», 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также ознакомиться 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с утвержденной документацией по планировке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территории (проект планировки территории 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и проект межевания территории).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(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дрес, по которому заинтересованные лица могут получить информацию о предполагаемом изъятии земельных участков и расположенных на них объектов недвижимого имущества для государственных или муниципальных нужд и подать заявления об учете прав на земельные уча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стки и иные объекты недвижимого имущества, а также срок подачи указанных заявлений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)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</w:tc>
      </w:tr>
      <w:tr>
        <w:tblPrEx/>
        <w:trPr>
          <w:trHeight w:val="1952"/>
        </w:trPr>
        <w:tc>
          <w:tcPr>
            <w:shd w:val="clear" w:color="ffffff" w:fill="ffffff"/>
            <w:tcW w:w="9781" w:type="dxa"/>
            <w:vAlign w:val="center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Федеральное агентство железнодорожного транспорта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105064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, г. Москва,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ул. Старая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Басм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анная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, Москва, д. 11/2, стр. 1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тел.: 8(499) 550-34-36; адрес электронной почты: </w:t>
            </w:r>
            <w:hyperlink r:id="rId10" w:tooltip="mailto:info@roszeldor.ru" w:history="1">
              <w:r>
                <w:rPr>
                  <w:rFonts w:ascii="Times New Roman" w:hAnsi="Times New Roman" w:eastAsia="SimSun" w:cs="Times New Roman"/>
                  <w:bCs/>
                  <w:lang w:eastAsia="zh-CN" w:bidi="hi-IN"/>
                </w:rPr>
                <w:t xml:space="preserve">info@r</w:t>
              </w:r>
            </w:hyperlink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  <w:t xml:space="preserve">lw.gov.ru 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  <w:t xml:space="preserve">время приема: согласно графику по предварительной записи)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(адрес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и время приема граждан и представителей юридических лиц для ознакомления с проектом межевания территории или схемой расположения земельного участка, в соответствии с которыми предстоит образовать земельный участок, подлежащий изъятию. При этом срок озн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акомления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с указанными документами не может быть менее чем шестьдесят дней со дня опубликования сообщения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</w:tc>
      </w:tr>
      <w:tr>
        <w:tblPrEx/>
        <w:trPr>
          <w:trHeight w:val="1952"/>
        </w:trPr>
        <w:tc>
          <w:tcPr>
            <w:shd w:val="clear" w:color="ffffff" w:fill="ffffff"/>
            <w:tcW w:w="9781" w:type="dxa"/>
            <w:vAlign w:val="center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hyperlink r:id="rId11" w:tooltip="https://rlw.gov.ru/" w:history="1">
              <w:r>
                <w:rPr>
                  <w:rStyle w:val="842"/>
                  <w:rFonts w:ascii="Times New Roman" w:hAnsi="Times New Roman" w:eastAsia="SimSun" w:cs="Times New Roman"/>
                  <w:bCs/>
                  <w:lang w:eastAsia="zh-CN" w:bidi="hi-IN"/>
                </w:rPr>
                <w:t xml:space="preserve">https://rlw.gov.ru/</w:t>
              </w:r>
              <w:r>
                <w:rPr>
                  <w:rStyle w:val="842"/>
                  <w:rFonts w:ascii="Times New Roman" w:hAnsi="Times New Roman" w:eastAsia="SimSun" w:cs="Times New Roman"/>
                  <w:bCs/>
                  <w:lang w:eastAsia="zh-CN" w:bidi="hi-IN"/>
                </w:rPr>
              </w:r>
            </w:hyperlink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</w:r>
            <w:hyperlink r:id="rId12" w:tooltip="https://kalinin-adm.ru/" w:history="1">
              <w:r>
                <w:rPr>
                  <w:rStyle w:val="842"/>
                  <w:rFonts w:ascii="Times New Roman" w:hAnsi="Times New Roman" w:eastAsia="SimSun" w:cs="Times New Roman"/>
                  <w:bCs/>
                  <w:highlight w:val="none"/>
                  <w:lang w:eastAsia="zh-CN" w:bidi="hi-IN"/>
                </w:rPr>
                <w:t xml:space="preserve">https://kalinin-adm.ru/</w:t>
              </w:r>
            </w:hyperlink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(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официальные сайты в информационно-телекоммуникационной сети «Интернет», на которых размещается сообщение о планируемом изъятии земельных участков для государственных нужд)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</w:tc>
      </w:tr>
      <w:tr>
        <w:tblPrEx/>
        <w:trPr>
          <w:jc w:val="center"/>
          <w:trHeight w:val="1952"/>
        </w:trPr>
        <w:tc>
          <w:tcPr>
            <w:shd w:val="clear" w:color="auto" w:fill="auto"/>
            <w:tcW w:w="9781" w:type="dxa"/>
            <w:vAlign w:val="center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</w:pP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  <w:t xml:space="preserve">Распоряжение Правительства РФ от 29.09.2021 № 2734-р</w:t>
            </w: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</w:r>
            <w:r/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  <w:t xml:space="preserve">«О внесении изменений в распоряжение Правительства РФ от 19.03.2013 № 384-р 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  <w:t xml:space="preserve">«</w:t>
            </w: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  <w:t xml:space="preserve">Об утверждении схемы территориального планирования Российской Федерации в области федерального транспорта (железнодорожного, воздушного, морского, внутреннего водного транспорта) и автомобильных дорог федерального значения»</w:t>
            </w: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Р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аспоряжение Росжелдора от 24.01.2025 № АБ-35-р (с изменениями от 20.03.2026 № АБ-619-р)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«Об утверждении документации по планировке территории (проект планировки территории и проект межевания территории) 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для размещения объекта: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«Создание высокоскоростной железнодорожной магистрали Санкт-Петербург – Москва (участок Крюково (Алабушево) – Обухово)». 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5 этап – Строительство участка Логовежь (вкл.) – Новая Тверь (искл.)»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(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реквизиты решений об утверждении документов территориального планирования и проекта планировки территории, предусматривающих размещение объектов федерального значения,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реквизиты решения об утверждении проекта межевания территории, предусматривающего образование земельных участков, подлежащих изъятию, в случае, если образование таких земельных участков осуществляется в соответствии с проектом межевания территории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)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</w:tc>
      </w:tr>
      <w:tr>
        <w:tblPrEx/>
        <w:trPr>
          <w:jc w:val="center"/>
          <w:trHeight w:val="3101"/>
        </w:trPr>
        <w:tc>
          <w:tcPr>
            <w:shd w:val="clear" w:color="auto" w:fill="auto"/>
            <w:tcW w:w="9781" w:type="dxa"/>
            <w:vAlign w:val="center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hyperlink r:id="rId13" w:tooltip="https://главархитектура.тверскаяобласть.рф/" w:history="1">
              <w:r>
                <w:rPr>
                  <w:rStyle w:val="842"/>
                  <w:rFonts w:ascii="Times New Roman" w:hAnsi="Times New Roman" w:eastAsia="SimSun" w:cs="Times New Roman"/>
                  <w:highlight w:val="none"/>
                  <w:lang w:eastAsia="zh-CN" w:bidi="hi-IN"/>
                </w:rPr>
                <w:t xml:space="preserve">https://главархитектура.тверскаяобласть.рф/</w:t>
              </w:r>
            </w:hyperlink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  <w:t xml:space="preserve">(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  <w:t xml:space="preserve">о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  <w:t xml:space="preserve">фициальный сайт, на котором размещены утвержденные документы территориального планирования и проект планировки территории, предусматривающие размещение объектов федерального значения, объектов регионального значения или объектов местного значения, для стро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  <w:t xml:space="preserve">ительства, реконструкции которых планируется изъятие земельных участков (в случае, если изъятие земельных участков осуществляется для строительства, реконструкции объектов, предусмотренных такими документами).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</w:tc>
      </w:tr>
    </w:tbl>
    <w:p>
      <w:pPr>
        <w:rPr>
          <w:sz w:val="4"/>
          <w:szCs w:val="4"/>
        </w:rPr>
      </w:pPr>
      <w:r>
        <w:rPr>
          <w:sz w:val="4"/>
          <w:szCs w:val="4"/>
        </w:rPr>
      </w:r>
      <w:r>
        <w:rPr>
          <w:sz w:val="4"/>
          <w:szCs w:val="4"/>
        </w:rPr>
      </w:r>
      <w:r>
        <w:rPr>
          <w:sz w:val="4"/>
          <w:szCs w:val="4"/>
        </w:rPr>
      </w:r>
    </w:p>
    <w:sectPr>
      <w:footnotePr/>
      <w:endnotePr/>
      <w:type w:val="nextPage"/>
      <w:pgSz w:w="11906" w:h="16838" w:orient="portrait"/>
      <w:pgMar w:top="709" w:right="851" w:bottom="284" w:left="1276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">
    <w:panose1 w:val="02000506000000020000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1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1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1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1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1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1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1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1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1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0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0"/>
    <w:next w:val="830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1"/>
    <w:link w:val="674"/>
    <w:uiPriority w:val="10"/>
    <w:rPr>
      <w:sz w:val="48"/>
      <w:szCs w:val="48"/>
    </w:rPr>
  </w:style>
  <w:style w:type="paragraph" w:styleId="676">
    <w:name w:val="Subtitle"/>
    <w:basedOn w:val="830"/>
    <w:next w:val="830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1"/>
    <w:link w:val="676"/>
    <w:uiPriority w:val="11"/>
    <w:rPr>
      <w:sz w:val="24"/>
      <w:szCs w:val="24"/>
    </w:rPr>
  </w:style>
  <w:style w:type="paragraph" w:styleId="678">
    <w:name w:val="Quote"/>
    <w:basedOn w:val="830"/>
    <w:next w:val="830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0"/>
    <w:next w:val="830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1"/>
    <w:link w:val="682"/>
    <w:uiPriority w:val="99"/>
  </w:style>
  <w:style w:type="paragraph" w:styleId="684">
    <w:name w:val="Footer"/>
    <w:basedOn w:val="830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1"/>
    <w:link w:val="684"/>
    <w:uiPriority w:val="99"/>
  </w:style>
  <w:style w:type="paragraph" w:styleId="686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7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1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1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paragraph" w:styleId="834">
    <w:name w:val="Balloon Text"/>
    <w:basedOn w:val="830"/>
    <w:link w:val="83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5" w:customStyle="1">
    <w:name w:val="Текст выноски Знак"/>
    <w:basedOn w:val="831"/>
    <w:link w:val="834"/>
    <w:uiPriority w:val="99"/>
    <w:semiHidden/>
    <w:rPr>
      <w:rFonts w:ascii="Segoe UI" w:hAnsi="Segoe UI" w:cs="Segoe UI"/>
      <w:sz w:val="18"/>
      <w:szCs w:val="18"/>
    </w:rPr>
  </w:style>
  <w:style w:type="character" w:styleId="836">
    <w:name w:val="annotation reference"/>
    <w:basedOn w:val="831"/>
    <w:uiPriority w:val="99"/>
    <w:semiHidden/>
    <w:unhideWhenUsed/>
    <w:rPr>
      <w:sz w:val="16"/>
      <w:szCs w:val="16"/>
    </w:rPr>
  </w:style>
  <w:style w:type="paragraph" w:styleId="837">
    <w:name w:val="annotation text"/>
    <w:basedOn w:val="830"/>
    <w:link w:val="838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38" w:customStyle="1">
    <w:name w:val="Текст примечания Знак"/>
    <w:basedOn w:val="831"/>
    <w:link w:val="837"/>
    <w:uiPriority w:val="99"/>
    <w:semiHidden/>
    <w:rPr>
      <w:sz w:val="20"/>
      <w:szCs w:val="20"/>
    </w:rPr>
  </w:style>
  <w:style w:type="paragraph" w:styleId="839">
    <w:name w:val="annotation subject"/>
    <w:basedOn w:val="837"/>
    <w:next w:val="837"/>
    <w:link w:val="840"/>
    <w:uiPriority w:val="99"/>
    <w:semiHidden/>
    <w:unhideWhenUsed/>
    <w:rPr>
      <w:b/>
      <w:bCs/>
    </w:rPr>
  </w:style>
  <w:style w:type="character" w:styleId="840" w:customStyle="1">
    <w:name w:val="Тема примечания Знак"/>
    <w:basedOn w:val="838"/>
    <w:link w:val="839"/>
    <w:uiPriority w:val="99"/>
    <w:semiHidden/>
    <w:rPr>
      <w:b/>
      <w:bCs/>
      <w:sz w:val="20"/>
      <w:szCs w:val="20"/>
    </w:rPr>
  </w:style>
  <w:style w:type="table" w:styleId="841">
    <w:name w:val="Table Grid"/>
    <w:basedOn w:val="832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42">
    <w:name w:val="Hyperlink"/>
    <w:basedOn w:val="831"/>
    <w:uiPriority w:val="99"/>
    <w:unhideWhenUsed/>
    <w:rPr>
      <w:color w:val="0563c1" w:themeColor="hyperlink"/>
      <w:u w:val="single"/>
    </w:rPr>
  </w:style>
  <w:style w:type="paragraph" w:styleId="843">
    <w:name w:val="Normal (Web)"/>
    <w:basedOn w:val="830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4" w:customStyle="1">
    <w:name w:val="Table Paragraph"/>
    <w:uiPriority w:val="1"/>
    <w:qFormat/>
    <w:pPr>
      <w:contextualSpacing w:val="0"/>
      <w:ind w:left="132" w:right="0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hyperlink" Target="mailto:info@roszeldor.ru" TargetMode="External"/><Relationship Id="rId10" Type="http://schemas.openxmlformats.org/officeDocument/2006/relationships/hyperlink" Target="mailto:info@roszeldor.ru" TargetMode="External"/><Relationship Id="rId11" Type="http://schemas.openxmlformats.org/officeDocument/2006/relationships/hyperlink" Target="https://rlw.gov.ru/" TargetMode="External"/><Relationship Id="rId12" Type="http://schemas.openxmlformats.org/officeDocument/2006/relationships/hyperlink" Target="https://kalinin-adm.ru/" TargetMode="External"/><Relationship Id="rId13" Type="http://schemas.openxmlformats.org/officeDocument/2006/relationships/hyperlink" Target="https://&#1075;&#1083;&#1072;&#1074;&#1072;&#1088;&#1093;&#1080;&#1090;&#1077;&#1082;&#1090;&#1091;&#1088;&#1072;.&#1090;&#1074;&#1077;&#1088;&#1089;&#1082;&#1072;&#1103;&#1086;&#1073;&#1083;&#1072;&#1089;&#1090;&#1100;.&#1088;&#1092;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20EEB-1E7C-4B10-8D17-45248DCEA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Витягловская Татьяна Дмитриевна</dc:creator>
  <cp:revision>28</cp:revision>
  <dcterms:created xsi:type="dcterms:W3CDTF">2024-07-09T09:03:00Z</dcterms:created>
  <dcterms:modified xsi:type="dcterms:W3CDTF">2026-04-27T08:17:57Z</dcterms:modified>
</cp:coreProperties>
</file>